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20AF" w14:textId="419A7CF0" w:rsidR="00327CA8" w:rsidRPr="00327CA8" w:rsidRDefault="00327CA8" w:rsidP="00327CA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EMC </w:t>
      </w:r>
      <w:r w:rsidRPr="00327CA8">
        <w:rPr>
          <w:rFonts w:ascii="Arial" w:hAnsi="Arial" w:cs="Arial"/>
          <w:b/>
          <w:bCs/>
          <w:sz w:val="40"/>
          <w:szCs w:val="40"/>
        </w:rPr>
        <w:t>POLICY BRIEF</w:t>
      </w:r>
    </w:p>
    <w:p w14:paraId="6140BD14" w14:textId="50CF0E62" w:rsidR="00327CA8" w:rsidRPr="00327CA8" w:rsidRDefault="00327CA8" w:rsidP="00327CA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 xml:space="preserve">A weekly </w:t>
      </w:r>
      <w:r w:rsidRPr="00327CA8">
        <w:rPr>
          <w:rFonts w:ascii="Arial" w:hAnsi="Arial" w:cs="Arial"/>
          <w:b/>
          <w:bCs/>
          <w:sz w:val="40"/>
          <w:szCs w:val="40"/>
        </w:rPr>
        <w:t>roundup</w:t>
      </w:r>
      <w:r w:rsidRPr="00327CA8">
        <w:rPr>
          <w:rFonts w:ascii="Arial" w:hAnsi="Arial" w:cs="Arial"/>
          <w:b/>
          <w:bCs/>
          <w:sz w:val="40"/>
          <w:szCs w:val="40"/>
        </w:rPr>
        <w:t xml:space="preserve"> of local government news in the East Midlands brought to you by</w:t>
      </w:r>
    </w:p>
    <w:p w14:paraId="46A46BDD" w14:textId="0BA28A80" w:rsidR="00327CA8" w:rsidRDefault="00327CA8" w:rsidP="00327CA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East Midlands Councils</w:t>
      </w:r>
    </w:p>
    <w:p w14:paraId="52E29E53" w14:textId="3A041B3B" w:rsidR="00327CA8" w:rsidRDefault="00327CA8" w:rsidP="00327CA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06 JUNE 2025</w:t>
      </w:r>
    </w:p>
    <w:p w14:paraId="7B30495D" w14:textId="608558E3" w:rsidR="00327CA8" w:rsidRDefault="00327CA8">
      <w:pPr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Top items this week</w:t>
      </w:r>
    </w:p>
    <w:p w14:paraId="3743AC46" w14:textId="77777777" w:rsidR="00680526" w:rsidRPr="00680526" w:rsidRDefault="00680526" w:rsidP="0068052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680526">
        <w:rPr>
          <w:rFonts w:ascii="Arial" w:hAnsi="Arial" w:cs="Arial"/>
          <w:b/>
          <w:bCs/>
          <w:sz w:val="40"/>
          <w:szCs w:val="40"/>
        </w:rPr>
        <w:t>Planning Reform, Devolution and LGR</w:t>
      </w:r>
    </w:p>
    <w:p w14:paraId="3A34C81B" w14:textId="77777777" w:rsidR="00680526" w:rsidRPr="00680526" w:rsidRDefault="00680526" w:rsidP="0068052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680526">
        <w:rPr>
          <w:rFonts w:ascii="Arial" w:hAnsi="Arial" w:cs="Arial"/>
          <w:b/>
          <w:bCs/>
          <w:sz w:val="40"/>
          <w:szCs w:val="40"/>
        </w:rPr>
        <w:t>Local Government Reorganisation Contributions Announced</w:t>
      </w:r>
    </w:p>
    <w:p w14:paraId="15ED8303" w14:textId="77777777" w:rsidR="00680526" w:rsidRPr="00680526" w:rsidRDefault="00680526" w:rsidP="0068052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680526">
        <w:rPr>
          <w:rFonts w:ascii="Arial" w:hAnsi="Arial" w:cs="Arial"/>
          <w:b/>
          <w:bCs/>
          <w:sz w:val="40"/>
          <w:szCs w:val="40"/>
        </w:rPr>
        <w:t>Remote Attendance and Proxy Voting</w:t>
      </w:r>
    </w:p>
    <w:p w14:paraId="53C7BD57" w14:textId="77777777" w:rsidR="00680526" w:rsidRPr="00680526" w:rsidRDefault="00680526" w:rsidP="0068052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680526">
        <w:rPr>
          <w:rFonts w:ascii="Arial" w:hAnsi="Arial" w:cs="Arial"/>
          <w:b/>
          <w:bCs/>
          <w:sz w:val="40"/>
          <w:szCs w:val="40"/>
        </w:rPr>
        <w:t>EMC Councillor Development Programme</w:t>
      </w:r>
    </w:p>
    <w:p w14:paraId="02AFAC50" w14:textId="77777777" w:rsidR="00327CA8" w:rsidRPr="00680526" w:rsidRDefault="00327CA8" w:rsidP="00680526">
      <w:pPr>
        <w:pStyle w:val="ListParagraph"/>
        <w:rPr>
          <w:rFonts w:ascii="Arial" w:hAnsi="Arial" w:cs="Arial"/>
          <w:b/>
          <w:bCs/>
          <w:sz w:val="40"/>
          <w:szCs w:val="40"/>
        </w:rPr>
      </w:pPr>
    </w:p>
    <w:p w14:paraId="0EA7ECA9" w14:textId="2CCACD3C" w:rsidR="0050731D" w:rsidRPr="00327CA8" w:rsidRDefault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PLANNING REFORM, DEVOLUTION AND LGR</w:t>
      </w:r>
      <w:r w:rsidRPr="00327CA8">
        <w:rPr>
          <w:rFonts w:ascii="Arial" w:hAnsi="Arial" w:cs="Arial"/>
          <w:b/>
          <w:bCs/>
          <w:sz w:val="40"/>
          <w:szCs w:val="40"/>
        </w:rPr>
        <w:cr/>
      </w:r>
      <w:r w:rsidR="0050731D" w:rsidRPr="00327CA8">
        <w:rPr>
          <w:rFonts w:ascii="Arial" w:hAnsi="Arial" w:cs="Arial"/>
          <w:sz w:val="40"/>
          <w:szCs w:val="40"/>
        </w:rPr>
        <w:t xml:space="preserve">Yesterday, </w:t>
      </w:r>
      <w:r w:rsidR="0050731D" w:rsidRPr="00327CA8">
        <w:rPr>
          <w:rFonts w:ascii="Arial" w:hAnsi="Arial" w:cs="Arial"/>
          <w:sz w:val="40"/>
          <w:szCs w:val="40"/>
        </w:rPr>
        <w:t>we were joined by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over 120 delegates, including</w:t>
      </w:r>
      <w:r w:rsidR="0050731D" w:rsidRPr="00327CA8">
        <w:rPr>
          <w:rFonts w:ascii="Arial" w:hAnsi="Arial" w:cs="Arial"/>
          <w:sz w:val="40"/>
          <w:szCs w:val="40"/>
        </w:rPr>
        <w:t xml:space="preserve"> local government leaders, policy experts and planning professionals to explore the overlapping impacts of devolution, local government reorganisation (LGR) and planning reform aka 'The perfect storm'!</w:t>
      </w:r>
      <w:r w:rsidR="0050731D" w:rsidRPr="00327CA8">
        <w:rPr>
          <w:rFonts w:ascii="Arial" w:hAnsi="Arial" w:cs="Arial"/>
          <w:sz w:val="40"/>
          <w:szCs w:val="40"/>
        </w:rPr>
        <w:br/>
      </w:r>
      <w:r w:rsidR="0050731D" w:rsidRPr="00327CA8">
        <w:rPr>
          <w:rFonts w:ascii="Arial" w:hAnsi="Arial" w:cs="Arial"/>
          <w:sz w:val="40"/>
          <w:szCs w:val="40"/>
        </w:rPr>
        <w:br/>
        <w:t xml:space="preserve">In the morning we heard from expert voices across the sector on the emerging LGR proposals, the experience of colleagues in North Northamptonshire and the ongoing experiences </w:t>
      </w:r>
      <w:r w:rsidR="0050731D" w:rsidRPr="00327CA8">
        <w:rPr>
          <w:rFonts w:ascii="Arial" w:hAnsi="Arial" w:cs="Arial"/>
          <w:sz w:val="40"/>
          <w:szCs w:val="40"/>
        </w:rPr>
        <w:lastRenderedPageBreak/>
        <w:t xml:space="preserve">from authorities in the region. </w:t>
      </w:r>
      <w:r w:rsidR="0050731D" w:rsidRPr="00327CA8">
        <w:rPr>
          <w:rFonts w:ascii="Arial" w:hAnsi="Arial" w:cs="Arial"/>
          <w:sz w:val="40"/>
          <w:szCs w:val="40"/>
        </w:rPr>
        <w:br/>
      </w:r>
      <w:r w:rsidR="0050731D" w:rsidRPr="00327CA8">
        <w:rPr>
          <w:rFonts w:ascii="Arial" w:hAnsi="Arial" w:cs="Arial"/>
          <w:sz w:val="40"/>
          <w:szCs w:val="40"/>
        </w:rPr>
        <w:br/>
        <w:t>This afternoon we discussed the impact of the Government's planning reform agenda along with the practicalities of implementing change, including the legal and environmental implications.</w:t>
      </w:r>
    </w:p>
    <w:p w14:paraId="2F85EDB0" w14:textId="0C2E7360" w:rsidR="0050731D" w:rsidRPr="00327CA8" w:rsidRDefault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 xml:space="preserve">Special thanks to our Chair </w:t>
      </w:r>
      <w:r w:rsidRPr="00327CA8">
        <w:rPr>
          <w:rFonts w:ascii="Arial" w:hAnsi="Arial" w:cs="Arial"/>
          <w:b/>
          <w:bCs/>
          <w:sz w:val="40"/>
          <w:szCs w:val="40"/>
        </w:rPr>
        <w:t>Tricia Gilby</w:t>
      </w:r>
      <w:r w:rsidRPr="00327CA8">
        <w:rPr>
          <w:rFonts w:ascii="Arial" w:hAnsi="Arial" w:cs="Arial"/>
          <w:sz w:val="40"/>
          <w:szCs w:val="40"/>
        </w:rPr>
        <w:t xml:space="preserve"> and our expert speakers for their insights and challenge</w:t>
      </w:r>
      <w:r w:rsidRPr="00327CA8">
        <w:rPr>
          <w:rFonts w:ascii="Arial" w:hAnsi="Arial" w:cs="Arial"/>
          <w:sz w:val="40"/>
          <w:szCs w:val="40"/>
        </w:rPr>
        <w:t xml:space="preserve">. </w:t>
      </w:r>
      <w:r w:rsidRPr="00327CA8">
        <w:rPr>
          <w:rFonts w:ascii="Arial" w:hAnsi="Arial" w:cs="Arial"/>
          <w:sz w:val="40"/>
          <w:szCs w:val="40"/>
        </w:rPr>
        <w:t>Thanks also to all of the delegates who contributed to a timely and important discussion. We look forward to continuing these conversations and supporting our members in these areas over the coming months and years.</w:t>
      </w:r>
    </w:p>
    <w:p w14:paraId="0F42EE6F" w14:textId="629FF600" w:rsidR="00327CA8" w:rsidRPr="00327CA8" w:rsidRDefault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The slides from yesterday's event can be found here:</w:t>
      </w:r>
      <w:r w:rsidRPr="00327CA8">
        <w:rPr>
          <w:rFonts w:ascii="Arial" w:hAnsi="Arial" w:cs="Arial"/>
          <w:sz w:val="40"/>
          <w:szCs w:val="40"/>
        </w:rPr>
        <w:t xml:space="preserve"> </w:t>
      </w:r>
      <w:hyperlink r:id="rId5" w:history="1">
        <w:r w:rsidRPr="00327CA8">
          <w:rPr>
            <w:rStyle w:val="Hyperlink"/>
            <w:rFonts w:ascii="Arial" w:hAnsi="Arial" w:cs="Arial"/>
            <w:sz w:val="40"/>
            <w:szCs w:val="40"/>
          </w:rPr>
          <w:t>https://www.emcouncils.gov.uk/events/low-cost-cpd-for-planners-programme/</w:t>
        </w:r>
      </w:hyperlink>
    </w:p>
    <w:p w14:paraId="3390E262" w14:textId="6A83285A" w:rsidR="00327CA8" w:rsidRPr="00327CA8" w:rsidRDefault="00327CA8">
      <w:pPr>
        <w:rPr>
          <w:rFonts w:ascii="Arial" w:hAnsi="Arial" w:cs="Arial"/>
          <w:sz w:val="40"/>
          <w:szCs w:val="40"/>
        </w:rPr>
      </w:pPr>
    </w:p>
    <w:p w14:paraId="5F113BA8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LOCAL GOVERNMENT REORGANISATION CONTRIBUTIONS ANNOUNCED</w:t>
      </w:r>
      <w:r w:rsidRPr="00327CA8">
        <w:rPr>
          <w:rFonts w:ascii="Arial" w:hAnsi="Arial" w:cs="Arial"/>
          <w:b/>
          <w:bCs/>
          <w:sz w:val="40"/>
          <w:szCs w:val="40"/>
        </w:rPr>
        <w:cr/>
      </w:r>
      <w:r w:rsidRPr="00327CA8">
        <w:rPr>
          <w:rFonts w:ascii="Arial" w:hAnsi="Arial" w:cs="Arial"/>
          <w:sz w:val="40"/>
          <w:szCs w:val="40"/>
        </w:rPr>
        <w:t>This week, a written Ministerial Statement by Jim McMahon MP set out how Local Government</w:t>
      </w:r>
    </w:p>
    <w:p w14:paraId="332A9784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Reorganisation (LGR) Proposal Development Contributions would be allocated, the amount that</w:t>
      </w:r>
    </w:p>
    <w:p w14:paraId="0403639F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each area would receive, and the method for that payment, across the 21 LGR areas.</w:t>
      </w:r>
    </w:p>
    <w:p w14:paraId="111174E0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In the East Midlands, the contributions will be as follows:</w:t>
      </w:r>
    </w:p>
    <w:p w14:paraId="65BD6BFF" w14:textId="62673718" w:rsidR="00327CA8" w:rsidRPr="00686CD7" w:rsidRDefault="00327CA8" w:rsidP="00686CD7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86CD7">
        <w:rPr>
          <w:rFonts w:ascii="Arial" w:hAnsi="Arial" w:cs="Arial"/>
          <w:sz w:val="40"/>
          <w:szCs w:val="40"/>
        </w:rPr>
        <w:t>Derbyshire and Derby: £350,582</w:t>
      </w:r>
    </w:p>
    <w:p w14:paraId="2EE4FF70" w14:textId="0A88ABFB" w:rsidR="00327CA8" w:rsidRPr="00686CD7" w:rsidRDefault="00327CA8" w:rsidP="00686CD7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86CD7">
        <w:rPr>
          <w:rFonts w:ascii="Arial" w:hAnsi="Arial" w:cs="Arial"/>
          <w:sz w:val="40"/>
          <w:szCs w:val="40"/>
        </w:rPr>
        <w:t>Leicestershire, Leicester and Rutland: £365,888</w:t>
      </w:r>
    </w:p>
    <w:p w14:paraId="22283173" w14:textId="49DCD827" w:rsidR="00327CA8" w:rsidRPr="00686CD7" w:rsidRDefault="00327CA8" w:rsidP="00686CD7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86CD7">
        <w:rPr>
          <w:rFonts w:ascii="Arial" w:hAnsi="Arial" w:cs="Arial"/>
          <w:sz w:val="40"/>
          <w:szCs w:val="40"/>
        </w:rPr>
        <w:t>Lincolnshire, North Lincolnshire and North East Lincolnshire: £357,246</w:t>
      </w:r>
    </w:p>
    <w:p w14:paraId="7AFDC05F" w14:textId="6D471D78" w:rsidR="00327CA8" w:rsidRPr="00686CD7" w:rsidRDefault="00327CA8" w:rsidP="00686CD7">
      <w:pPr>
        <w:pStyle w:val="ListParagraph"/>
        <w:numPr>
          <w:ilvl w:val="0"/>
          <w:numId w:val="4"/>
        </w:numPr>
        <w:rPr>
          <w:rFonts w:ascii="Arial" w:hAnsi="Arial" w:cs="Arial"/>
          <w:sz w:val="40"/>
          <w:szCs w:val="40"/>
        </w:rPr>
      </w:pPr>
      <w:r w:rsidRPr="00686CD7">
        <w:rPr>
          <w:rFonts w:ascii="Arial" w:hAnsi="Arial" w:cs="Arial"/>
          <w:sz w:val="40"/>
          <w:szCs w:val="40"/>
        </w:rPr>
        <w:t>Nottinghamshire and Nottingham: £369,754</w:t>
      </w:r>
    </w:p>
    <w:p w14:paraId="73C9F42B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Each area will receive a flat rate of £135,000, plus an additional 20p per person based on the</w:t>
      </w:r>
    </w:p>
    <w:p w14:paraId="25A918F9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latest ONS population estimates. Areas must agree on up to three councils to receive an equal</w:t>
      </w:r>
    </w:p>
    <w:p w14:paraId="632FCBF7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share of the funding for the area.</w:t>
      </w:r>
    </w:p>
    <w:p w14:paraId="3BB0B5D2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The MHCLG Minister of State also confirmed that each area has now received feedback on their</w:t>
      </w:r>
    </w:p>
    <w:p w14:paraId="36BDEEC9" w14:textId="61E9DAC4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interim plans, a summary of which can be found here:</w:t>
      </w:r>
      <w:r w:rsidRPr="00327CA8">
        <w:rPr>
          <w:rFonts w:ascii="Arial" w:hAnsi="Arial" w:cs="Arial"/>
          <w:sz w:val="40"/>
          <w:szCs w:val="40"/>
        </w:rPr>
        <w:t xml:space="preserve"> </w:t>
      </w:r>
      <w:hyperlink r:id="rId6" w:history="1">
        <w:r w:rsidRPr="00327CA8">
          <w:rPr>
            <w:rStyle w:val="Hyperlink"/>
            <w:rFonts w:ascii="Arial" w:hAnsi="Arial" w:cs="Arial"/>
            <w:sz w:val="40"/>
            <w:szCs w:val="40"/>
          </w:rPr>
          <w:t>https://www.gov.uk/government/publications/local-government-reorganisation-summary-of-feedback-on-interim-plans</w:t>
        </w:r>
      </w:hyperlink>
    </w:p>
    <w:p w14:paraId="1EB51383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</w:p>
    <w:p w14:paraId="2E27C84A" w14:textId="455F5630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 xml:space="preserve">CITY-REGION LOCAL TRANSPORT FUNDING ANNOUNCED </w:t>
      </w:r>
      <w:r w:rsidRPr="00327CA8">
        <w:rPr>
          <w:rFonts w:ascii="Arial" w:hAnsi="Arial" w:cs="Arial"/>
          <w:b/>
          <w:bCs/>
          <w:sz w:val="40"/>
          <w:szCs w:val="40"/>
        </w:rPr>
        <w:cr/>
      </w:r>
      <w:r w:rsidRPr="00327CA8">
        <w:rPr>
          <w:rFonts w:ascii="Arial" w:hAnsi="Arial" w:cs="Arial"/>
          <w:sz w:val="40"/>
          <w:szCs w:val="40"/>
        </w:rPr>
        <w:t xml:space="preserve">This week, the government announced £15.6 billion of government funding for local </w:t>
      </w:r>
      <w:r w:rsidRPr="00327CA8">
        <w:rPr>
          <w:rFonts w:ascii="Arial" w:hAnsi="Arial" w:cs="Arial"/>
          <w:sz w:val="40"/>
          <w:szCs w:val="40"/>
        </w:rPr>
        <w:t xml:space="preserve">transport </w:t>
      </w:r>
      <w:r w:rsidRPr="00327CA8">
        <w:rPr>
          <w:rFonts w:ascii="Arial" w:hAnsi="Arial" w:cs="Arial"/>
          <w:sz w:val="40"/>
          <w:szCs w:val="40"/>
        </w:rPr>
        <w:t>projects in England’s city regions.</w:t>
      </w:r>
    </w:p>
    <w:p w14:paraId="6A58A1C0" w14:textId="41CA222D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Within the announcement, EMCCA is set to benefit from £2.0 billion from 2027/28 to 2031/32 to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design a new mass transit system to connect Derby and Nottingham, encompassing road, rail and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bus improvements across the Trent Arc corridor</w:t>
      </w:r>
      <w:r w:rsidRPr="00327CA8">
        <w:rPr>
          <w:rFonts w:ascii="Arial" w:hAnsi="Arial" w:cs="Arial"/>
          <w:sz w:val="40"/>
          <w:szCs w:val="40"/>
        </w:rPr>
        <w:t>.</w:t>
      </w:r>
    </w:p>
    <w:p w14:paraId="351BB559" w14:textId="7BF15BEB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hyperlink r:id="rId7" w:history="1">
        <w:r w:rsidRPr="00327CA8">
          <w:rPr>
            <w:rStyle w:val="Hyperlink"/>
            <w:rFonts w:ascii="Arial" w:hAnsi="Arial" w:cs="Arial"/>
            <w:sz w:val="40"/>
            <w:szCs w:val="40"/>
          </w:rPr>
          <w:t>https://www.gov.uk/government/news/biggest-ever-investment-in-city-region-local-transport-as-chancellor-vows-the-renewal-of-britain</w:t>
        </w:r>
      </w:hyperlink>
    </w:p>
    <w:p w14:paraId="056D00F3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</w:p>
    <w:p w14:paraId="4900D889" w14:textId="66E6DA2C" w:rsidR="0050731D" w:rsidRPr="00327CA8" w:rsidRDefault="00327CA8" w:rsidP="00327CA8">
      <w:pPr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 xml:space="preserve">REMOTE ATTENDANCE AND PROXY VOTING </w:t>
      </w:r>
    </w:p>
    <w:p w14:paraId="3A04B39E" w14:textId="4C49B823" w:rsidR="0050731D" w:rsidRPr="00327CA8" w:rsidRDefault="0050731D" w:rsidP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 xml:space="preserve">This week, </w:t>
      </w:r>
      <w:r w:rsidRPr="00327CA8">
        <w:rPr>
          <w:rFonts w:ascii="Arial" w:hAnsi="Arial" w:cs="Arial"/>
          <w:sz w:val="40"/>
          <w:szCs w:val="40"/>
        </w:rPr>
        <w:t xml:space="preserve">MHCLG published the government response to the consultation on remote attendance and proxy voting. The response sets out </w:t>
      </w:r>
      <w:r w:rsidRPr="00327CA8">
        <w:rPr>
          <w:rFonts w:ascii="Arial" w:hAnsi="Arial" w:cs="Arial"/>
          <w:sz w:val="40"/>
          <w:szCs w:val="40"/>
        </w:rPr>
        <w:t>thei</w:t>
      </w:r>
      <w:r w:rsidRPr="00327CA8">
        <w:rPr>
          <w:rFonts w:ascii="Arial" w:hAnsi="Arial" w:cs="Arial"/>
          <w:sz w:val="40"/>
          <w:szCs w:val="40"/>
        </w:rPr>
        <w:t>r analysis of consultation responses and outlines the government’s plans to enable remote attendance and proxy voting for councils.</w:t>
      </w:r>
    </w:p>
    <w:p w14:paraId="2369130C" w14:textId="616B8C23" w:rsidR="0050731D" w:rsidRPr="00327CA8" w:rsidRDefault="0050731D" w:rsidP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Allowing remote attendance at meetings will give councils the freedom to operate more efficiently and make elected roles more accessible for more people. Introducing proxy voting will support council decision-making when councillors are away because of serious or long-term illness or becoming a new parent.</w:t>
      </w:r>
    </w:p>
    <w:p w14:paraId="39DED631" w14:textId="37FB3A92" w:rsidR="0050731D" w:rsidRPr="00327CA8" w:rsidRDefault="0050731D" w:rsidP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 xml:space="preserve">Read more: </w:t>
      </w:r>
      <w:hyperlink r:id="rId8" w:history="1">
        <w:r w:rsidRPr="00327CA8">
          <w:rPr>
            <w:rStyle w:val="Hyperlink"/>
            <w:rFonts w:ascii="Arial" w:hAnsi="Arial" w:cs="Arial"/>
            <w:sz w:val="40"/>
            <w:szCs w:val="40"/>
          </w:rPr>
          <w:t>https://www.gov.uk/government/consultations/enabling-remote-attendance-and-proxy-voting-at-local-authority-meetings/outcome/remote-attendance-and-proxy-voting-in-local-authorities-consultation-results-and-government-response</w:t>
        </w:r>
      </w:hyperlink>
    </w:p>
    <w:p w14:paraId="36800CF1" w14:textId="77777777" w:rsidR="00327CA8" w:rsidRPr="00327CA8" w:rsidRDefault="00327CA8" w:rsidP="0050731D">
      <w:pPr>
        <w:rPr>
          <w:rFonts w:ascii="Arial" w:hAnsi="Arial" w:cs="Arial"/>
          <w:sz w:val="40"/>
          <w:szCs w:val="40"/>
        </w:rPr>
      </w:pPr>
    </w:p>
    <w:p w14:paraId="308F922C" w14:textId="08623017" w:rsidR="0050731D" w:rsidRPr="0050731D" w:rsidRDefault="00327CA8" w:rsidP="0050731D">
      <w:pPr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HELP IMPROVE HOW GOVERNMENT SUPPORTS DECISION-MAKING IN COUNCILS</w:t>
      </w:r>
    </w:p>
    <w:p w14:paraId="2BF00297" w14:textId="1CEA6A78" w:rsidR="0050731D" w:rsidRPr="00327CA8" w:rsidRDefault="0050731D" w:rsidP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MHCLG is exploring how to better support councils to use data effectively for decision making and driving service improvements across communities.</w:t>
      </w:r>
    </w:p>
    <w:p w14:paraId="15953E9D" w14:textId="77777777" w:rsidR="0050731D" w:rsidRPr="00327CA8" w:rsidRDefault="0050731D" w:rsidP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The department is carrying out research with councils to understand how data is currently used for strategic planning, decision-making, prioritisation and measuring progress.</w:t>
      </w:r>
    </w:p>
    <w:p w14:paraId="7CC80CD7" w14:textId="4D56CA21" w:rsidR="0050731D" w:rsidRPr="00327CA8" w:rsidRDefault="0050731D" w:rsidP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The researchers are keen to speak to council heads of service or those with strategic oversight in one or more service areas.</w:t>
      </w:r>
    </w:p>
    <w:p w14:paraId="4ED4ABAB" w14:textId="7DB106C8" w:rsidR="0050731D" w:rsidRPr="00327CA8" w:rsidRDefault="0050731D" w:rsidP="0050731D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To take part, </w:t>
      </w:r>
      <w:hyperlink r:id="rId9" w:tooltip="https://forms.office.com/e/7kTWZP3zmi" w:history="1">
        <w:r w:rsidRPr="00327CA8">
          <w:rPr>
            <w:rStyle w:val="Hyperlink"/>
            <w:rFonts w:ascii="Arial" w:hAnsi="Arial" w:cs="Arial"/>
            <w:sz w:val="40"/>
            <w:szCs w:val="40"/>
          </w:rPr>
          <w:t>please complete this quick survey</w:t>
        </w:r>
      </w:hyperlink>
      <w:r w:rsidRPr="00327CA8">
        <w:rPr>
          <w:rFonts w:ascii="Arial" w:hAnsi="Arial" w:cs="Arial"/>
          <w:sz w:val="40"/>
          <w:szCs w:val="40"/>
        </w:rPr>
        <w:t>.</w:t>
      </w:r>
    </w:p>
    <w:p w14:paraId="60C58707" w14:textId="77777777" w:rsidR="00327CA8" w:rsidRPr="00327CA8" w:rsidRDefault="00327CA8" w:rsidP="0050731D">
      <w:pPr>
        <w:rPr>
          <w:rFonts w:ascii="Arial" w:hAnsi="Arial" w:cs="Arial"/>
          <w:sz w:val="40"/>
          <w:szCs w:val="40"/>
        </w:rPr>
      </w:pPr>
    </w:p>
    <w:p w14:paraId="2E9F0ABA" w14:textId="3785E442" w:rsidR="0050731D" w:rsidRPr="00327CA8" w:rsidRDefault="00327CA8" w:rsidP="0050731D">
      <w:pPr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PENSIONS SCHEME BILL</w:t>
      </w:r>
    </w:p>
    <w:p w14:paraId="4AC1B9D1" w14:textId="4A68CEA4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This week, the government introduced a new Pension Schemes Bill to help people plan their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retirement and get more from their pension pots.</w:t>
      </w:r>
    </w:p>
    <w:p w14:paraId="4A5AAD70" w14:textId="0562A49D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The Bill is designed to support working people plan for their retirement by making pensions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simpler to understand, easier to manage, and drive better value over the long term.</w:t>
      </w:r>
    </w:p>
    <w:p w14:paraId="464B16D3" w14:textId="231F467F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It introduces a new system to show how well pension schemes are performing. For those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approaching retirement, the Bill will require schemes to offer clear default options for turning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savings into a retirement income. This means people will have clearer, more secure routes to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decide how they use their pension money over time. The measures include consolidating the</w:t>
      </w:r>
    </w:p>
    <w:p w14:paraId="0AB79EA5" w14:textId="15B4E39F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Local Government Pension Scheme (LGPS), with assets to be held in six pools that can invest in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local areas infrastructure, housing and clean energy</w:t>
      </w:r>
      <w:r w:rsidRPr="00327CA8">
        <w:rPr>
          <w:rFonts w:ascii="Arial" w:hAnsi="Arial" w:cs="Arial"/>
          <w:sz w:val="40"/>
          <w:szCs w:val="40"/>
        </w:rPr>
        <w:t>.</w:t>
      </w:r>
    </w:p>
    <w:p w14:paraId="675850F2" w14:textId="20626C0F" w:rsidR="0050731D" w:rsidRPr="00327CA8" w:rsidRDefault="00327CA8" w:rsidP="0050731D">
      <w:pPr>
        <w:rPr>
          <w:rFonts w:ascii="Arial" w:hAnsi="Arial" w:cs="Arial"/>
          <w:sz w:val="40"/>
          <w:szCs w:val="40"/>
        </w:rPr>
      </w:pPr>
      <w:hyperlink r:id="rId10" w:history="1">
        <w:r w:rsidRPr="00327CA8">
          <w:rPr>
            <w:rStyle w:val="Hyperlink"/>
            <w:rFonts w:ascii="Arial" w:hAnsi="Arial" w:cs="Arial"/>
            <w:sz w:val="40"/>
            <w:szCs w:val="40"/>
          </w:rPr>
          <w:t>https://www.gov.uk/government/news/20-million-workers-set-to-benefit-from-new-pension-schemes-bill</w:t>
        </w:r>
      </w:hyperlink>
    </w:p>
    <w:p w14:paraId="5751A379" w14:textId="77777777" w:rsidR="00327CA8" w:rsidRPr="00327CA8" w:rsidRDefault="00327CA8" w:rsidP="0050731D">
      <w:pPr>
        <w:rPr>
          <w:rFonts w:ascii="Arial" w:hAnsi="Arial" w:cs="Arial"/>
          <w:sz w:val="40"/>
          <w:szCs w:val="40"/>
        </w:rPr>
      </w:pPr>
    </w:p>
    <w:p w14:paraId="57A33497" w14:textId="02F05B6A" w:rsidR="00327CA8" w:rsidRPr="00327CA8" w:rsidRDefault="00327CA8" w:rsidP="0050731D">
      <w:pPr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 xml:space="preserve">EMC COUNCILLOR DEVELOPMENT PROGRAMME </w:t>
      </w:r>
      <w:r w:rsidRPr="00327CA8">
        <w:rPr>
          <w:rFonts w:ascii="Arial" w:hAnsi="Arial" w:cs="Arial"/>
          <w:b/>
          <w:bCs/>
          <w:sz w:val="40"/>
          <w:szCs w:val="40"/>
        </w:rPr>
        <w:cr/>
      </w:r>
    </w:p>
    <w:p w14:paraId="0B4F0AC3" w14:textId="77777777" w:rsidR="00327CA8" w:rsidRPr="00327CA8" w:rsidRDefault="00327CA8" w:rsidP="00327CA8">
      <w:pPr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Chairing Skills for Councillors</w:t>
      </w:r>
    </w:p>
    <w:p w14:paraId="725CA41E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Wednesday 18 June 2025 | 6pm—8.30pm</w:t>
      </w:r>
    </w:p>
    <w:p w14:paraId="39B0560F" w14:textId="79FEA00F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This 2.5-hour session has been developed for Councillors in the East Midlands, who are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interested in developing their chairing skills in face to face, virtual and hybrid settings. It is suitable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for both chairs and vice chairs.</w:t>
      </w:r>
    </w:p>
    <w:p w14:paraId="578104F1" w14:textId="4E0A1252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hyperlink r:id="rId11" w:history="1">
        <w:r w:rsidRPr="00327CA8">
          <w:rPr>
            <w:rStyle w:val="Hyperlink"/>
            <w:rFonts w:ascii="Arial" w:hAnsi="Arial" w:cs="Arial"/>
            <w:sz w:val="40"/>
            <w:szCs w:val="40"/>
          </w:rPr>
          <w:t>https://www.emcouncils.gov.uk/events/chairing-skills-for-members-337/</w:t>
        </w:r>
      </w:hyperlink>
    </w:p>
    <w:p w14:paraId="23C57DB2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</w:p>
    <w:p w14:paraId="3CE25018" w14:textId="77777777" w:rsidR="00327CA8" w:rsidRPr="00327CA8" w:rsidRDefault="00327CA8" w:rsidP="00327CA8">
      <w:pPr>
        <w:rPr>
          <w:rFonts w:ascii="Arial" w:hAnsi="Arial" w:cs="Arial"/>
          <w:b/>
          <w:bCs/>
          <w:sz w:val="40"/>
          <w:szCs w:val="40"/>
        </w:rPr>
      </w:pPr>
      <w:r w:rsidRPr="00327CA8">
        <w:rPr>
          <w:rFonts w:ascii="Arial" w:hAnsi="Arial" w:cs="Arial"/>
          <w:b/>
          <w:bCs/>
          <w:sz w:val="40"/>
          <w:szCs w:val="40"/>
        </w:rPr>
        <w:t>Hitting the Ground Running—Workshop for newly elected councillors</w:t>
      </w:r>
    </w:p>
    <w:p w14:paraId="51278FF8" w14:textId="77777777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Friday 11 July 2025 | 2pm—4.30pm</w:t>
      </w:r>
    </w:p>
    <w:p w14:paraId="53866625" w14:textId="2F09AAA1" w:rsidR="00327CA8" w:rsidRPr="00327CA8" w:rsidRDefault="00327CA8" w:rsidP="00327CA8">
      <w:pPr>
        <w:rPr>
          <w:rFonts w:ascii="Arial" w:hAnsi="Arial" w:cs="Arial"/>
          <w:sz w:val="40"/>
          <w:szCs w:val="40"/>
        </w:rPr>
      </w:pPr>
      <w:r w:rsidRPr="00327CA8">
        <w:rPr>
          <w:rFonts w:ascii="Arial" w:hAnsi="Arial" w:cs="Arial"/>
          <w:sz w:val="40"/>
          <w:szCs w:val="40"/>
        </w:rPr>
        <w:t>Our Hitting the Ground Running Workshop on 11th July is provided specifically for newly elected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councillors. The purpose of this introductory session is to highlight the role of the modern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councillor, in particular, how you can be effective in your community leadership/ward councillor</w:t>
      </w:r>
      <w:r w:rsidRPr="00327CA8">
        <w:rPr>
          <w:rFonts w:ascii="Arial" w:hAnsi="Arial" w:cs="Arial"/>
          <w:sz w:val="40"/>
          <w:szCs w:val="40"/>
        </w:rPr>
        <w:t xml:space="preserve"> </w:t>
      </w:r>
      <w:r w:rsidRPr="00327CA8">
        <w:rPr>
          <w:rFonts w:ascii="Arial" w:hAnsi="Arial" w:cs="Arial"/>
          <w:sz w:val="40"/>
          <w:szCs w:val="40"/>
        </w:rPr>
        <w:t>role and work most effectively with council officers.</w:t>
      </w:r>
    </w:p>
    <w:p w14:paraId="6422AB56" w14:textId="2A47921F" w:rsidR="00327CA8" w:rsidRDefault="00327CA8" w:rsidP="0050731D">
      <w:pPr>
        <w:rPr>
          <w:rFonts w:ascii="Arial" w:hAnsi="Arial" w:cs="Arial"/>
          <w:sz w:val="40"/>
          <w:szCs w:val="40"/>
        </w:rPr>
      </w:pPr>
      <w:hyperlink r:id="rId12" w:history="1">
        <w:r w:rsidRPr="00327CA8">
          <w:rPr>
            <w:rStyle w:val="Hyperlink"/>
            <w:rFonts w:ascii="Arial" w:hAnsi="Arial" w:cs="Arial"/>
            <w:sz w:val="40"/>
            <w:szCs w:val="40"/>
          </w:rPr>
          <w:t>https://www.emcouncils.gov.uk/events/hitting-the-ground-running-a-workshop-for-newly-elected-councillors/</w:t>
        </w:r>
      </w:hyperlink>
    </w:p>
    <w:p w14:paraId="1D063079" w14:textId="77777777" w:rsidR="00686CD7" w:rsidRDefault="00686CD7" w:rsidP="0050731D">
      <w:pPr>
        <w:rPr>
          <w:rFonts w:ascii="Arial" w:hAnsi="Arial" w:cs="Arial"/>
          <w:sz w:val="40"/>
          <w:szCs w:val="40"/>
        </w:rPr>
      </w:pPr>
    </w:p>
    <w:p w14:paraId="37F7B9EE" w14:textId="629D0FE7" w:rsidR="00686CD7" w:rsidRPr="00327CA8" w:rsidRDefault="00686CD7" w:rsidP="0050731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ends. </w:t>
      </w:r>
    </w:p>
    <w:p w14:paraId="32D6FE70" w14:textId="77777777" w:rsidR="00327CA8" w:rsidRDefault="00327CA8" w:rsidP="0050731D"/>
    <w:p w14:paraId="738CFCF5" w14:textId="77777777" w:rsidR="0050731D" w:rsidRDefault="0050731D"/>
    <w:p w14:paraId="31FAAF58" w14:textId="77777777" w:rsidR="0050731D" w:rsidRDefault="0050731D"/>
    <w:p w14:paraId="2FBEDF40" w14:textId="7BFF261D" w:rsidR="0050731D" w:rsidRDefault="0050731D"/>
    <w:sectPr w:rsidR="00507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1BB9"/>
    <w:multiLevelType w:val="hybridMultilevel"/>
    <w:tmpl w:val="7340EFDE"/>
    <w:lvl w:ilvl="0" w:tplc="AE22D07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49E"/>
    <w:multiLevelType w:val="multilevel"/>
    <w:tmpl w:val="07D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A16D7"/>
    <w:multiLevelType w:val="hybridMultilevel"/>
    <w:tmpl w:val="BD8A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2462B"/>
    <w:multiLevelType w:val="hybridMultilevel"/>
    <w:tmpl w:val="5B820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42833">
    <w:abstractNumId w:val="1"/>
  </w:num>
  <w:num w:numId="2" w16cid:durableId="1277642891">
    <w:abstractNumId w:val="2"/>
  </w:num>
  <w:num w:numId="3" w16cid:durableId="412899993">
    <w:abstractNumId w:val="3"/>
  </w:num>
  <w:num w:numId="4" w16cid:durableId="7960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1D"/>
    <w:rsid w:val="00056C4F"/>
    <w:rsid w:val="001E7464"/>
    <w:rsid w:val="002600AE"/>
    <w:rsid w:val="00327CA8"/>
    <w:rsid w:val="0050731D"/>
    <w:rsid w:val="0055537E"/>
    <w:rsid w:val="00607C02"/>
    <w:rsid w:val="006205FB"/>
    <w:rsid w:val="00680526"/>
    <w:rsid w:val="00686CD7"/>
    <w:rsid w:val="00753F0E"/>
    <w:rsid w:val="00876BB3"/>
    <w:rsid w:val="00BB4F89"/>
    <w:rsid w:val="00C37446"/>
    <w:rsid w:val="00D13D72"/>
    <w:rsid w:val="00F6581E"/>
    <w:rsid w:val="00F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2EB8"/>
  <w15:chartTrackingRefBased/>
  <w15:docId w15:val="{6256BD23-4262-4267-B949-D099563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3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3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4437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0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348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79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4041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3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3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08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71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5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5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9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45024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6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250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2925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462987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1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3587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43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315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952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752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44743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3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0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4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8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36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88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2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7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5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5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79869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6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272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5484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509782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07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nsultations/enabling-remote-attendance-and-proxy-voting-at-local-authority-meetings/outcome/remote-attendance-and-proxy-voting-in-local-authorities-consultation-results-and-government-respon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news/biggest-ever-investment-in-city-region-local-transport-as-chancellor-vows-the-renewal-of-britain" TargetMode="External"/><Relationship Id="rId12" Type="http://schemas.openxmlformats.org/officeDocument/2006/relationships/hyperlink" Target="https://www.emcouncils.gov.uk/events/hitting-the-ground-running-a-workshop-for-newly-elected-councill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local-government-reorganisation-summary-of-feedback-on-interim-plans" TargetMode="External"/><Relationship Id="rId11" Type="http://schemas.openxmlformats.org/officeDocument/2006/relationships/hyperlink" Target="https://www.emcouncils.gov.uk/events/chairing-skills-for-members-337/" TargetMode="External"/><Relationship Id="rId5" Type="http://schemas.openxmlformats.org/officeDocument/2006/relationships/hyperlink" Target="https://www.emcouncils.gov.uk/events/low-cost-cpd-for-planners-programme/" TargetMode="External"/><Relationship Id="rId10" Type="http://schemas.openxmlformats.org/officeDocument/2006/relationships/hyperlink" Target="https://www.gov.uk/government/news/20-million-workers-set-to-benefit-from-new-pension-schemes-b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7kTWZP3z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Pengelly</dc:creator>
  <cp:keywords/>
  <dc:description/>
  <cp:lastModifiedBy>Rachael Pengelly</cp:lastModifiedBy>
  <cp:revision>2</cp:revision>
  <dcterms:created xsi:type="dcterms:W3CDTF">2025-06-06T10:23:00Z</dcterms:created>
  <dcterms:modified xsi:type="dcterms:W3CDTF">2025-06-06T15:04:00Z</dcterms:modified>
</cp:coreProperties>
</file>